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数学</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孙晓峰</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eastAsia" w:ascii="Times New Roman" w:hAnsi="Times New Roman"/>
                <w:sz w:val="28"/>
                <w:szCs w:val="28"/>
                <w:lang w:val="en-US" w:eastAsia="zh-CN"/>
              </w:rPr>
            </w:pPr>
            <w:r>
              <w:rPr>
                <w:rFonts w:hint="eastAsia" w:ascii="Times New Roman" w:hAnsi="Times New Roman"/>
                <w:sz w:val="28"/>
                <w:szCs w:val="28"/>
                <w:lang w:val="en-US" w:eastAsia="zh-CN"/>
              </w:rPr>
              <w:t>25美3、4、5</w:t>
            </w:r>
          </w:p>
          <w:p w14:paraId="5AA7849E">
            <w:pPr>
              <w:spacing w:line="360" w:lineRule="exact"/>
              <w:jc w:val="center"/>
              <w:rPr>
                <w:rFonts w:hint="default" w:ascii="Times New Roman" w:hAnsi="Times New Roman"/>
                <w:sz w:val="28"/>
                <w:szCs w:val="28"/>
                <w:lang w:val="en-US" w:eastAsia="zh-CN"/>
              </w:rPr>
            </w:pPr>
            <w:r>
              <w:rPr>
                <w:rFonts w:hint="eastAsia" w:ascii="Times New Roman" w:hAnsi="Times New Roman"/>
                <w:sz w:val="28"/>
                <w:szCs w:val="28"/>
                <w:lang w:val="en-US" w:eastAsia="zh-CN"/>
              </w:rPr>
              <w:t>25舞大3、4</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eastAsia" w:ascii="Times New Roman" w:hAnsi="Times New Roman" w:eastAsiaTheme="minorEastAsia"/>
                <w:sz w:val="28"/>
                <w:szCs w:val="28"/>
                <w:lang w:val="en-US" w:eastAsia="zh-CN"/>
              </w:rPr>
            </w:pP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1A4B53FE">
            <w:pPr>
              <w:spacing w:line="400" w:lineRule="exact"/>
              <w:ind w:firstLine="560" w:firstLineChars="200"/>
              <w:jc w:val="left"/>
              <w:rPr>
                <w:rFonts w:ascii="Times New Roman" w:hAnsi="Times New Roman"/>
                <w:sz w:val="28"/>
                <w:szCs w:val="28"/>
              </w:rPr>
            </w:pPr>
            <w:r>
              <w:rPr>
                <w:rFonts w:hint="eastAsia" w:ascii="Times New Roman" w:hAnsi="Times New Roman"/>
                <w:sz w:val="28"/>
                <w:szCs w:val="28"/>
              </w:rPr>
              <w:t>本学期教学内容涵盖人教版数学基础模块上下册核心章节，从上册4.1.2指数函数入手，讲解指数函数的概念、图像与性质及简单应用；接着推进对数相关知识、三角函数的概念与运算等内容，直至下册6.2.4直线与直线的位置关系，重点学习直线方程、两直线平行与垂直的判定及应用。</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7964F1A">
            <w:pPr>
              <w:spacing w:line="400" w:lineRule="exact"/>
              <w:ind w:firstLine="560"/>
              <w:jc w:val="left"/>
              <w:rPr>
                <w:rFonts w:hint="eastAsia" w:ascii="Times New Roman" w:hAnsi="Times New Roman"/>
                <w:sz w:val="28"/>
                <w:szCs w:val="28"/>
              </w:rPr>
            </w:pPr>
            <w:r>
              <w:rPr>
                <w:rFonts w:hint="eastAsia" w:ascii="Times New Roman" w:hAnsi="Times New Roman"/>
                <w:sz w:val="28"/>
                <w:szCs w:val="28"/>
              </w:rPr>
              <w:t>授课班级为</w:t>
            </w:r>
            <w:r>
              <w:rPr>
                <w:rFonts w:hint="eastAsia" w:ascii="Times New Roman" w:hAnsi="Times New Roman"/>
                <w:sz w:val="28"/>
                <w:szCs w:val="28"/>
                <w:lang w:val="en-US" w:eastAsia="zh-CN"/>
              </w:rPr>
              <w:t>绘画和舞蹈专业学生</w:t>
            </w:r>
            <w:r>
              <w:rPr>
                <w:rFonts w:hint="eastAsia" w:ascii="Times New Roman" w:hAnsi="Times New Roman"/>
                <w:sz w:val="28"/>
                <w:szCs w:val="28"/>
              </w:rPr>
              <w:t>，学生们具有独特的学情特点。</w:t>
            </w:r>
          </w:p>
          <w:p w14:paraId="0FF8E686">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本学期授课对象为艺术专业学生，其数学学习呈现出鲜明的群体特征。整体来看，学生数学基础普遍薄弱，初中及中职前期知识掌握不扎实，运算能力、公式记忆能力不足，对指数函数、三角函数、直线位置关系等抽象性较强的内容，理解难度大，易产生畏难心理。</w:t>
            </w:r>
          </w:p>
          <w:p w14:paraId="7EBC6892">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学习兴趣方面，艺术生更侧重专业技能学习，对数学理论知识关注度低，学习主动性和自觉性较差，缺乏课前预习、课后复习的良好习惯，课堂注意力易分散，参与度不高，被动学习现象突出。部分学生因长期数学成绩不理想，存在厌学情绪，学习自信心不足。</w:t>
            </w:r>
          </w:p>
          <w:p w14:paraId="30C40708">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思维特点上，艺术生形象思维、直观感知能力较强，擅长图形观察、视觉化学习，但逻辑推理、抽象概括能力较弱，对函数性质推导、几何证明等逻辑性内容难以适应，数形结合的应用意识不足。</w:t>
            </w:r>
          </w:p>
          <w:p w14:paraId="709215BA">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学习目标与需求上，学生多以达标为导向，对数学知识的深度和广度要求不高，更关注基础题型、简单应用。同时，学生个体差异显著，基础参差不齐，分层教学需求突出。</w:t>
            </w:r>
          </w:p>
          <w:p w14:paraId="3DA7343D">
            <w:pPr>
              <w:spacing w:line="400" w:lineRule="exact"/>
              <w:ind w:firstLine="560" w:firstLineChars="200"/>
              <w:jc w:val="left"/>
              <w:rPr>
                <w:rFonts w:ascii="Times New Roman" w:hAnsi="Times New Roman"/>
                <w:sz w:val="28"/>
                <w:szCs w:val="28"/>
              </w:rPr>
            </w:pPr>
            <w:r>
              <w:rPr>
                <w:rFonts w:hint="eastAsia" w:ascii="Times New Roman" w:hAnsi="Times New Roman"/>
                <w:sz w:val="28"/>
                <w:szCs w:val="28"/>
              </w:rPr>
              <w:t>此外，艺术生思维灵活、创造力强，若结合图像、案例、专业场景开展教学，能有效提升学习积极性。总体而言，教学中需降低理论难度，强化直观教学，夯实基础，注重兴趣激发与信心培养，贴合艺术生认知特点，助力学生掌握必备数学知识与技能。</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3AF848CC">
            <w:pPr>
              <w:numPr>
                <w:ilvl w:val="0"/>
                <w:numId w:val="1"/>
              </w:numPr>
              <w:spacing w:line="400" w:lineRule="exact"/>
              <w:jc w:val="left"/>
              <w:rPr>
                <w:rFonts w:hint="eastAsia" w:ascii="Times New Roman" w:hAnsi="Times New Roman"/>
                <w:sz w:val="28"/>
                <w:szCs w:val="28"/>
              </w:rPr>
            </w:pPr>
            <w:r>
              <w:rPr>
                <w:rFonts w:hint="eastAsia" w:ascii="Times New Roman" w:hAnsi="Times New Roman"/>
                <w:sz w:val="28"/>
                <w:szCs w:val="28"/>
              </w:rPr>
              <w:t>掌握指数函数的定义、图像特征与基本性质，能进行简单的指数运算与应用；熟记对数的</w:t>
            </w:r>
            <w:r>
              <w:rPr>
                <w:rFonts w:hint="eastAsia" w:ascii="Times New Roman" w:hAnsi="Times New Roman"/>
                <w:sz w:val="28"/>
                <w:szCs w:val="28"/>
                <w:lang w:val="en-US" w:eastAsia="zh-CN"/>
              </w:rPr>
              <w:t>概念及</w:t>
            </w:r>
            <w:r>
              <w:rPr>
                <w:rFonts w:hint="eastAsia" w:ascii="Times New Roman" w:hAnsi="Times New Roman"/>
                <w:sz w:val="28"/>
                <w:szCs w:val="28"/>
              </w:rPr>
              <w:t>运算法则，图像特征与基本性质，能进行简单的指数运算与应用</w:t>
            </w:r>
            <w:r>
              <w:rPr>
                <w:rFonts w:hint="eastAsia" w:ascii="Times New Roman" w:hAnsi="Times New Roman"/>
                <w:sz w:val="28"/>
                <w:szCs w:val="28"/>
                <w:lang w:eastAsia="zh-CN"/>
              </w:rPr>
              <w:t>；</w:t>
            </w:r>
          </w:p>
          <w:p w14:paraId="3296CC67">
            <w:pPr>
              <w:numPr>
                <w:ilvl w:val="0"/>
                <w:numId w:val="1"/>
              </w:numPr>
              <w:spacing w:line="400" w:lineRule="exact"/>
              <w:jc w:val="left"/>
              <w:rPr>
                <w:rFonts w:ascii="Times New Roman" w:hAnsi="Times New Roman"/>
                <w:sz w:val="28"/>
                <w:szCs w:val="28"/>
              </w:rPr>
            </w:pPr>
            <w:r>
              <w:rPr>
                <w:rFonts w:hint="eastAsia" w:ascii="Times New Roman" w:hAnsi="Times New Roman"/>
                <w:sz w:val="28"/>
                <w:szCs w:val="28"/>
              </w:rPr>
              <w:t>理解三角函数的基本概念、</w:t>
            </w:r>
            <w:r>
              <w:rPr>
                <w:rFonts w:hint="eastAsia" w:ascii="Times New Roman" w:hAnsi="Times New Roman"/>
                <w:sz w:val="28"/>
                <w:szCs w:val="28"/>
                <w:lang w:val="en-US" w:eastAsia="zh-CN"/>
              </w:rPr>
              <w:t>图像及其重要性质</w:t>
            </w:r>
            <w:r>
              <w:rPr>
                <w:rFonts w:hint="eastAsia" w:ascii="Times New Roman" w:hAnsi="Times New Roman"/>
                <w:sz w:val="28"/>
                <w:szCs w:val="28"/>
              </w:rPr>
              <w:t>；</w:t>
            </w:r>
          </w:p>
          <w:p w14:paraId="0FC8C901">
            <w:pPr>
              <w:numPr>
                <w:ilvl w:val="0"/>
                <w:numId w:val="0"/>
              </w:numPr>
              <w:spacing w:line="400" w:lineRule="exact"/>
              <w:jc w:val="left"/>
              <w:rPr>
                <w:rFonts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掌握直线的多种方程形式，精准判定直线与直线的平行、垂直位置关系，能解决简单的直线位置关系相关计算问题。理清各章节知识的内在联系，构建基础的数学知识体系，牢记核心公式、定理与解题方法，能准确运用基础知识点完成基础习题，弥补知识漏洞，夯实数学基础，为后续学习和专业应用筑牢知识根基。</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975C3E">
            <w:pPr>
              <w:numPr>
                <w:ilvl w:val="0"/>
                <w:numId w:val="2"/>
              </w:numPr>
              <w:spacing w:line="400" w:lineRule="exact"/>
              <w:jc w:val="left"/>
              <w:rPr>
                <w:rFonts w:hint="eastAsia" w:ascii="Times New Roman" w:hAnsi="Times New Roman"/>
                <w:sz w:val="28"/>
                <w:szCs w:val="28"/>
                <w:lang w:val="en-US" w:eastAsia="zh-CN"/>
              </w:rPr>
            </w:pPr>
            <w:r>
              <w:rPr>
                <w:rFonts w:hint="eastAsia" w:ascii="Times New Roman" w:hAnsi="Times New Roman"/>
                <w:sz w:val="28"/>
                <w:szCs w:val="28"/>
                <w:lang w:val="en-US" w:eastAsia="zh-CN"/>
              </w:rPr>
              <w:t>提升基本的代数运算能力，能熟练完成指数、对数、三角函数相关运算；</w:t>
            </w:r>
          </w:p>
          <w:p w14:paraId="3C150190">
            <w:pPr>
              <w:numPr>
                <w:ilvl w:val="0"/>
                <w:numId w:val="2"/>
              </w:numPr>
              <w:spacing w:line="400" w:lineRule="exact"/>
              <w:jc w:val="left"/>
              <w:rPr>
                <w:rFonts w:ascii="Times New Roman" w:hAnsi="Times New Roman"/>
                <w:sz w:val="28"/>
                <w:szCs w:val="28"/>
              </w:rPr>
            </w:pPr>
            <w:r>
              <w:rPr>
                <w:rFonts w:hint="eastAsia" w:ascii="Times New Roman" w:hAnsi="Times New Roman"/>
                <w:sz w:val="28"/>
                <w:szCs w:val="28"/>
                <w:lang w:val="en-US" w:eastAsia="zh-CN"/>
              </w:rPr>
              <w:t>培养数形结合能力，借助函数图像、几何图形分析和解决数学问题，将抽象知识具象化；</w:t>
            </w:r>
          </w:p>
          <w:p w14:paraId="55272693">
            <w:pPr>
              <w:numPr>
                <w:ilvl w:val="0"/>
                <w:numId w:val="2"/>
              </w:numPr>
              <w:spacing w:line="400" w:lineRule="exact"/>
              <w:jc w:val="left"/>
              <w:rPr>
                <w:rFonts w:ascii="Times New Roman" w:hAnsi="Times New Roman"/>
                <w:sz w:val="28"/>
                <w:szCs w:val="28"/>
              </w:rPr>
            </w:pPr>
            <w:r>
              <w:rPr>
                <w:rFonts w:hint="eastAsia" w:ascii="Times New Roman" w:hAnsi="Times New Roman"/>
                <w:sz w:val="28"/>
                <w:szCs w:val="28"/>
                <w:lang w:val="en-US" w:eastAsia="zh-CN"/>
              </w:rPr>
              <w:t>锻炼逻辑推理与简单解题能力，能梳理解题思路，规范解答基础数学题型；</w:t>
            </w:r>
          </w:p>
          <w:p w14:paraId="3D5C218E">
            <w:pPr>
              <w:numPr>
                <w:ilvl w:val="0"/>
                <w:numId w:val="2"/>
              </w:numPr>
              <w:spacing w:line="400" w:lineRule="exact"/>
              <w:jc w:val="left"/>
              <w:rPr>
                <w:rFonts w:ascii="Times New Roman" w:hAnsi="Times New Roman"/>
                <w:sz w:val="28"/>
                <w:szCs w:val="28"/>
              </w:rPr>
            </w:pPr>
            <w:r>
              <w:rPr>
                <w:rFonts w:hint="eastAsia" w:ascii="Times New Roman" w:hAnsi="Times New Roman"/>
                <w:sz w:val="28"/>
                <w:szCs w:val="28"/>
                <w:lang w:val="en-US" w:eastAsia="zh-CN"/>
              </w:rPr>
              <w:t>提高知识迁移能力，把数学知识与艺术专业实践相结合，学会用数学思维分析实际问题；</w:t>
            </w:r>
          </w:p>
          <w:p w14:paraId="124C5FB1">
            <w:pPr>
              <w:numPr>
                <w:ilvl w:val="0"/>
                <w:numId w:val="2"/>
              </w:numPr>
              <w:spacing w:line="400" w:lineRule="exact"/>
              <w:jc w:val="left"/>
              <w:rPr>
                <w:rFonts w:ascii="Times New Roman" w:hAnsi="Times New Roman"/>
                <w:sz w:val="28"/>
                <w:szCs w:val="28"/>
              </w:rPr>
            </w:pPr>
            <w:r>
              <w:rPr>
                <w:rFonts w:hint="eastAsia" w:ascii="Times New Roman" w:hAnsi="Times New Roman"/>
                <w:sz w:val="28"/>
                <w:szCs w:val="28"/>
                <w:lang w:val="en-US" w:eastAsia="zh-CN"/>
              </w:rPr>
              <w:t>培养自主学习与合作探究能力，逐步养成主动思考、解决问题的习惯，提升数学学习的实操与应用能力。</w:t>
            </w:r>
          </w:p>
          <w:p w14:paraId="1A4F1E77">
            <w:pPr>
              <w:numPr>
                <w:ilvl w:val="0"/>
                <w:numId w:val="2"/>
              </w:numPr>
              <w:spacing w:line="400" w:lineRule="exact"/>
              <w:jc w:val="left"/>
              <w:rPr>
                <w:rFonts w:ascii="Times New Roman" w:hAnsi="Times New Roman"/>
                <w:sz w:val="28"/>
                <w:szCs w:val="28"/>
              </w:rPr>
            </w:pPr>
            <w:r>
              <w:rPr>
                <w:rFonts w:hint="eastAsia" w:ascii="Times New Roman" w:hAnsi="Times New Roman"/>
                <w:sz w:val="28"/>
                <w:szCs w:val="28"/>
              </w:rPr>
              <w:t>提高运用函数知识分析问题、建立函数模型解决实际问题的能力，增强数学运算和逻辑思维能力。</w:t>
            </w:r>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4F25642E">
            <w:pPr>
              <w:spacing w:line="400" w:lineRule="exact"/>
              <w:jc w:val="left"/>
              <w:rPr>
                <w:rFonts w:hint="eastAsia" w:ascii="Times New Roman" w:hAnsi="Times New Roman"/>
                <w:sz w:val="28"/>
                <w:szCs w:val="28"/>
              </w:rPr>
            </w:pPr>
            <w:r>
              <w:rPr>
                <w:rFonts w:hint="eastAsia" w:ascii="Times New Roman" w:hAnsi="Times New Roman"/>
                <w:sz w:val="28"/>
                <w:szCs w:val="28"/>
                <w:lang w:val="en-US" w:eastAsia="zh-CN"/>
              </w:rPr>
              <w:t>1.</w:t>
            </w:r>
            <w:r>
              <w:rPr>
                <w:rFonts w:hint="eastAsia" w:ascii="Times New Roman" w:hAnsi="Times New Roman"/>
                <w:sz w:val="28"/>
                <w:szCs w:val="28"/>
              </w:rPr>
              <w:t>培养严谨的数学思维和认真的学习态度；</w:t>
            </w:r>
          </w:p>
          <w:p w14:paraId="326D7A23">
            <w:pPr>
              <w:spacing w:line="400" w:lineRule="exact"/>
              <w:jc w:val="left"/>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提升运用数学知识解决实际问题的意识和能力，增强职业素养；</w:t>
            </w:r>
          </w:p>
          <w:p w14:paraId="6ECD2C62">
            <w:pPr>
              <w:spacing w:line="400" w:lineRule="exact"/>
              <w:jc w:val="left"/>
              <w:rPr>
                <w:rFonts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激发学习数学的兴趣，树立积极的学习态度和探索精神。</w:t>
            </w:r>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shd w:val="clear" w:color="auto" w:fill="auto"/>
            <w:vAlign w:val="center"/>
          </w:tcPr>
          <w:p w14:paraId="6CAF534E">
            <w:pPr>
              <w:spacing w:line="400" w:lineRule="exact"/>
              <w:jc w:val="left"/>
              <w:rPr>
                <w:rFonts w:hint="eastAsia" w:ascii="Times New Roman" w:hAnsi="Times New Roman"/>
                <w:sz w:val="28"/>
                <w:szCs w:val="28"/>
              </w:rPr>
            </w:pPr>
            <w:r>
              <w:rPr>
                <w:rFonts w:hint="eastAsia" w:ascii="Times New Roman" w:hAnsi="Times New Roman"/>
                <w:sz w:val="28"/>
                <w:szCs w:val="28"/>
              </w:rPr>
              <w:t>平时表现总成绩</w:t>
            </w:r>
            <w:r>
              <w:rPr>
                <w:rFonts w:hint="eastAsia" w:ascii="Times New Roman" w:hAnsi="Times New Roman"/>
                <w:sz w:val="28"/>
                <w:szCs w:val="28"/>
                <w:lang w:val="en-US" w:eastAsia="zh-CN"/>
              </w:rPr>
              <w:t>100分</w:t>
            </w:r>
            <w:r>
              <w:rPr>
                <w:rFonts w:hint="eastAsia" w:ascii="Times New Roman" w:hAnsi="Times New Roman"/>
                <w:sz w:val="28"/>
                <w:szCs w:val="28"/>
              </w:rPr>
              <w:t>，主要从以下几个方面进行考核：</w:t>
            </w:r>
          </w:p>
          <w:p w14:paraId="17E1C61C">
            <w:pPr>
              <w:spacing w:line="400" w:lineRule="exact"/>
              <w:jc w:val="left"/>
              <w:rPr>
                <w:rFonts w:hint="eastAsia" w:ascii="Times New Roman" w:hAnsi="Times New Roman"/>
                <w:sz w:val="28"/>
                <w:szCs w:val="28"/>
              </w:rPr>
            </w:pPr>
            <w:r>
              <w:rPr>
                <w:rFonts w:hint="eastAsia" w:ascii="Times New Roman" w:hAnsi="Times New Roman"/>
                <w:sz w:val="28"/>
                <w:szCs w:val="28"/>
                <w:lang w:val="en-US" w:eastAsia="zh-CN"/>
              </w:rPr>
              <w:t>1.</w:t>
            </w:r>
            <w:r>
              <w:rPr>
                <w:rFonts w:hint="eastAsia" w:ascii="Times New Roman" w:hAnsi="Times New Roman"/>
                <w:sz w:val="28"/>
                <w:szCs w:val="28"/>
              </w:rPr>
              <w:t>出勤情况（40</w:t>
            </w:r>
            <w:r>
              <w:rPr>
                <w:rFonts w:hint="eastAsia" w:ascii="Times New Roman" w:hAnsi="Times New Roman"/>
                <w:sz w:val="28"/>
                <w:szCs w:val="28"/>
                <w:lang w:val="en-US" w:eastAsia="zh-CN"/>
              </w:rPr>
              <w:t>分</w:t>
            </w:r>
            <w:r>
              <w:rPr>
                <w:rFonts w:hint="eastAsia" w:ascii="Times New Roman" w:hAnsi="Times New Roman"/>
                <w:sz w:val="28"/>
                <w:szCs w:val="28"/>
              </w:rPr>
              <w:t>）</w:t>
            </w:r>
          </w:p>
          <w:p w14:paraId="737FFB62">
            <w:pPr>
              <w:spacing w:line="400" w:lineRule="exact"/>
              <w:jc w:val="left"/>
              <w:rPr>
                <w:rFonts w:hint="eastAsia" w:ascii="Times New Roman" w:hAnsi="Times New Roman"/>
                <w:sz w:val="28"/>
                <w:szCs w:val="28"/>
              </w:rPr>
            </w:pPr>
            <w:r>
              <w:rPr>
                <w:rFonts w:hint="eastAsia" w:ascii="Times New Roman" w:hAnsi="Times New Roman"/>
                <w:sz w:val="28"/>
                <w:szCs w:val="28"/>
              </w:rPr>
              <w:t>学生需按时参加每节课，无故缺勤一次扣5分，迟到或早退一次扣3分。</w:t>
            </w:r>
          </w:p>
          <w:p w14:paraId="0FF9AA96">
            <w:pPr>
              <w:spacing w:line="400" w:lineRule="exact"/>
              <w:jc w:val="left"/>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课堂参与度（30</w:t>
            </w:r>
            <w:r>
              <w:rPr>
                <w:rFonts w:hint="eastAsia" w:ascii="Times New Roman" w:hAnsi="Times New Roman"/>
                <w:sz w:val="28"/>
                <w:szCs w:val="28"/>
                <w:lang w:val="en-US" w:eastAsia="zh-CN"/>
              </w:rPr>
              <w:t>分</w:t>
            </w:r>
            <w:r>
              <w:rPr>
                <w:rFonts w:hint="eastAsia" w:ascii="Times New Roman" w:hAnsi="Times New Roman"/>
                <w:sz w:val="28"/>
                <w:szCs w:val="28"/>
              </w:rPr>
              <w:t>）</w:t>
            </w:r>
          </w:p>
          <w:p w14:paraId="2A907430">
            <w:pPr>
              <w:spacing w:line="400" w:lineRule="exact"/>
              <w:jc w:val="left"/>
              <w:rPr>
                <w:rFonts w:hint="eastAsia" w:ascii="Times New Roman" w:hAnsi="Times New Roman"/>
                <w:sz w:val="28"/>
                <w:szCs w:val="28"/>
              </w:rPr>
            </w:pPr>
            <w:r>
              <w:rPr>
                <w:rFonts w:hint="eastAsia" w:ascii="Times New Roman" w:hAnsi="Times New Roman"/>
                <w:sz w:val="28"/>
                <w:szCs w:val="28"/>
                <w:lang w:val="en-US" w:eastAsia="zh-CN"/>
              </w:rPr>
              <w:t>主要包括参与课堂讨论、回答问题，主动完成课堂练习和小组活动等情况。</w:t>
            </w:r>
            <w:r>
              <w:rPr>
                <w:rFonts w:hint="eastAsia" w:ascii="Times New Roman" w:hAnsi="Times New Roman"/>
                <w:sz w:val="28"/>
                <w:szCs w:val="28"/>
              </w:rPr>
              <w:t>对于课堂上不认真听讲、玩手机或其他与学习无关的行为，每次扣2分。</w:t>
            </w:r>
          </w:p>
          <w:p w14:paraId="2EC9311D">
            <w:pPr>
              <w:spacing w:line="400" w:lineRule="exact"/>
              <w:jc w:val="left"/>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作业完成情况（30</w:t>
            </w:r>
            <w:r>
              <w:rPr>
                <w:rFonts w:hint="eastAsia" w:ascii="Times New Roman" w:hAnsi="Times New Roman"/>
                <w:sz w:val="28"/>
                <w:szCs w:val="28"/>
                <w:lang w:val="en-US" w:eastAsia="zh-CN"/>
              </w:rPr>
              <w:t>分</w:t>
            </w:r>
            <w:r>
              <w:rPr>
                <w:rFonts w:hint="eastAsia" w:ascii="Times New Roman" w:hAnsi="Times New Roman"/>
                <w:sz w:val="28"/>
                <w:szCs w:val="28"/>
              </w:rPr>
              <w:t>）</w:t>
            </w:r>
          </w:p>
          <w:p w14:paraId="67F75894">
            <w:pPr>
              <w:spacing w:line="400" w:lineRule="exact"/>
              <w:jc w:val="left"/>
              <w:rPr>
                <w:rFonts w:hint="eastAsia" w:ascii="Times New Roman" w:hAnsi="Times New Roman"/>
                <w:sz w:val="28"/>
                <w:szCs w:val="28"/>
              </w:rPr>
            </w:pPr>
            <w:r>
              <w:rPr>
                <w:rFonts w:hint="eastAsia" w:ascii="Times New Roman" w:hAnsi="Times New Roman"/>
                <w:sz w:val="28"/>
                <w:szCs w:val="28"/>
              </w:rPr>
              <w:t>主要考察学生作业的完成质量、正确率和按时提交情况。</w:t>
            </w:r>
          </w:p>
          <w:p w14:paraId="424FBF7E">
            <w:pPr>
              <w:spacing w:line="400" w:lineRule="exact"/>
              <w:jc w:val="left"/>
              <w:rPr>
                <w:rFonts w:hint="eastAsia" w:ascii="Times New Roman" w:hAnsi="Times New Roman" w:eastAsiaTheme="minorEastAsia" w:cstheme="minorBidi"/>
                <w:kern w:val="2"/>
                <w:sz w:val="28"/>
                <w:szCs w:val="28"/>
                <w:lang w:val="en-US" w:eastAsia="zh-CN" w:bidi="ar-SA"/>
              </w:rPr>
            </w:pPr>
            <w:r>
              <w:rPr>
                <w:rFonts w:hint="eastAsia" w:ascii="Times New Roman" w:hAnsi="Times New Roman"/>
                <w:sz w:val="28"/>
                <w:szCs w:val="28"/>
              </w:rPr>
              <w:t>未按时提交作业每次扣3分，抄袭作业视为无效并扣5分。</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shd w:val="clear" w:color="auto" w:fill="auto"/>
            <w:vAlign w:val="center"/>
          </w:tcPr>
          <w:p w14:paraId="01AA7B64">
            <w:pPr>
              <w:spacing w:line="400" w:lineRule="exact"/>
              <w:jc w:val="left"/>
              <w:rPr>
                <w:rFonts w:ascii="Times New Roman" w:hAnsi="Times New Roman" w:eastAsiaTheme="minorEastAsia" w:cstheme="minorBidi"/>
                <w:kern w:val="2"/>
                <w:sz w:val="28"/>
                <w:szCs w:val="28"/>
                <w:lang w:val="en-US" w:eastAsia="zh-CN" w:bidi="ar-SA"/>
              </w:rPr>
            </w:pPr>
            <w:r>
              <w:rPr>
                <w:rFonts w:hint="eastAsia" w:ascii="Times New Roman" w:hAnsi="Times New Roman"/>
                <w:sz w:val="28"/>
                <w:szCs w:val="28"/>
              </w:rPr>
              <w:t>采用闭卷考试的方式，考查学生对前半学期所学内容的掌握情况，包括</w:t>
            </w:r>
            <w:r>
              <w:rPr>
                <w:rFonts w:hint="eastAsia" w:ascii="Times New Roman" w:hAnsi="Times New Roman"/>
                <w:sz w:val="28"/>
                <w:szCs w:val="28"/>
                <w:lang w:val="en-US" w:eastAsia="zh-CN"/>
              </w:rPr>
              <w:t>指数函数、三角函数</w:t>
            </w:r>
            <w:r>
              <w:rPr>
                <w:rFonts w:hint="eastAsia" w:ascii="Times New Roman" w:hAnsi="Times New Roman"/>
                <w:sz w:val="28"/>
                <w:szCs w:val="28"/>
              </w:rPr>
              <w:t>等知识。考试题型包括选择题、填空题、解答题等，全面考查学生的知识运用能力和解题能力。</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shd w:val="clear" w:color="auto" w:fill="auto"/>
            <w:vAlign w:val="center"/>
          </w:tcPr>
          <w:p w14:paraId="2BE32FE9">
            <w:pPr>
              <w:spacing w:line="400" w:lineRule="exact"/>
              <w:jc w:val="left"/>
              <w:rPr>
                <w:rFonts w:ascii="Times New Roman" w:hAnsi="Times New Roman" w:eastAsiaTheme="minorEastAsia" w:cstheme="minorBidi"/>
                <w:kern w:val="2"/>
                <w:sz w:val="28"/>
                <w:szCs w:val="28"/>
                <w:lang w:val="en-US" w:eastAsia="zh-CN" w:bidi="ar-SA"/>
              </w:rPr>
            </w:pPr>
            <w:r>
              <w:rPr>
                <w:rFonts w:hint="eastAsia" w:ascii="Times New Roman" w:hAnsi="Times New Roman"/>
                <w:sz w:val="28"/>
                <w:szCs w:val="28"/>
              </w:rPr>
              <w:t>进行闭卷考试，涵盖本学期所学的全部内容，包括</w:t>
            </w:r>
            <w:r>
              <w:rPr>
                <w:rFonts w:hint="eastAsia" w:ascii="Times New Roman" w:hAnsi="Times New Roman"/>
                <w:sz w:val="28"/>
                <w:szCs w:val="28"/>
                <w:lang w:val="en-US" w:eastAsia="zh-CN"/>
              </w:rPr>
              <w:t>三角函数、直线和圆的方程</w:t>
            </w:r>
            <w:r>
              <w:rPr>
                <w:rFonts w:hint="eastAsia" w:ascii="Times New Roman" w:hAnsi="Times New Roman"/>
                <w:sz w:val="28"/>
                <w:szCs w:val="28"/>
              </w:rPr>
              <w:t>等。考试题型丰富多样，注重考查学生的综合应用能力和创新思维能力。</w:t>
            </w:r>
          </w:p>
        </w:tc>
      </w:tr>
    </w:tbl>
    <w:p w14:paraId="413BEEBD">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1738"/>
        <w:gridCol w:w="3542"/>
        <w:gridCol w:w="3661"/>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3"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38"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542"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661"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4D2EEFAE">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1738" w:type="dxa"/>
            <w:shd w:val="clear" w:color="auto" w:fill="auto"/>
            <w:vAlign w:val="center"/>
          </w:tcPr>
          <w:p w14:paraId="1CADBAF5">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15</w:t>
            </w:r>
          </w:p>
        </w:tc>
        <w:tc>
          <w:tcPr>
            <w:tcW w:w="3542" w:type="dxa"/>
            <w:vAlign w:val="center"/>
          </w:tcPr>
          <w:p w14:paraId="4FEA0D30">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4.1.2指数函数</w:t>
            </w:r>
          </w:p>
        </w:tc>
        <w:tc>
          <w:tcPr>
            <w:tcW w:w="3661" w:type="dxa"/>
            <w:vAlign w:val="center"/>
          </w:tcPr>
          <w:p w14:paraId="6108CF84">
            <w:pPr>
              <w:spacing w:line="400" w:lineRule="exact"/>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指数函数的定义、图像、单调性、定义域、值域</w:t>
            </w:r>
          </w:p>
        </w:tc>
        <w:tc>
          <w:tcPr>
            <w:tcW w:w="498" w:type="dxa"/>
            <w:vAlign w:val="center"/>
          </w:tcPr>
          <w:p w14:paraId="2A0DD611">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0B2FB65E">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p>
        </w:tc>
        <w:tc>
          <w:tcPr>
            <w:tcW w:w="1738" w:type="dxa"/>
            <w:shd w:val="clear" w:color="auto" w:fill="auto"/>
            <w:vAlign w:val="center"/>
          </w:tcPr>
          <w:p w14:paraId="4073ECA5">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22</w:t>
            </w:r>
          </w:p>
        </w:tc>
        <w:tc>
          <w:tcPr>
            <w:tcW w:w="3542" w:type="dxa"/>
            <w:shd w:val="clear" w:color="auto" w:fill="auto"/>
            <w:vAlign w:val="center"/>
          </w:tcPr>
          <w:p w14:paraId="3A4A4E22">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sz w:val="28"/>
                <w:szCs w:val="28"/>
                <w:lang w:val="en-US" w:eastAsia="zh-CN"/>
              </w:rPr>
              <w:t>4.2.1对数</w:t>
            </w:r>
          </w:p>
        </w:tc>
        <w:tc>
          <w:tcPr>
            <w:tcW w:w="3661" w:type="dxa"/>
            <w:vAlign w:val="center"/>
          </w:tcPr>
          <w:p w14:paraId="50BB98C3">
            <w:pPr>
              <w:spacing w:line="400" w:lineRule="exact"/>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对数</w:t>
            </w:r>
            <w:r>
              <w:rPr>
                <w:rFonts w:hint="default" w:asciiTheme="minorEastAsia" w:hAnsiTheme="minorEastAsia" w:eastAsiaTheme="minorEastAsia" w:cstheme="minorEastAsia"/>
                <w:sz w:val="28"/>
                <w:szCs w:val="28"/>
                <w:lang w:val="en-US" w:eastAsia="zh-CN"/>
              </w:rPr>
              <w:t>的概念</w:t>
            </w:r>
            <w:r>
              <w:rPr>
                <w:rFonts w:hint="eastAsia" w:asciiTheme="minorEastAsia" w:hAnsiTheme="minorEastAsia" w:cstheme="minorEastAsia"/>
                <w:sz w:val="28"/>
                <w:szCs w:val="28"/>
                <w:lang w:val="en-US" w:eastAsia="zh-CN"/>
              </w:rPr>
              <w:t>、常用对数与自然对数</w:t>
            </w:r>
          </w:p>
        </w:tc>
        <w:tc>
          <w:tcPr>
            <w:tcW w:w="498" w:type="dxa"/>
            <w:vAlign w:val="center"/>
          </w:tcPr>
          <w:p w14:paraId="6B3EBF4F">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0B46FCB0">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c>
          <w:tcPr>
            <w:tcW w:w="1738" w:type="dxa"/>
            <w:shd w:val="clear" w:color="auto" w:fill="auto"/>
            <w:vAlign w:val="center"/>
          </w:tcPr>
          <w:p w14:paraId="3D58B60B">
            <w:pPr>
              <w:spacing w:line="40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22</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cstheme="minorEastAsia"/>
                <w:sz w:val="28"/>
                <w:szCs w:val="28"/>
                <w:lang w:val="en-US" w:eastAsia="zh-CN"/>
              </w:rPr>
              <w:t>9</w:t>
            </w:r>
          </w:p>
        </w:tc>
        <w:tc>
          <w:tcPr>
            <w:tcW w:w="3542" w:type="dxa"/>
            <w:shd w:val="clear" w:color="auto" w:fill="auto"/>
            <w:vAlign w:val="center"/>
          </w:tcPr>
          <w:p w14:paraId="0F4C9020">
            <w:pPr>
              <w:jc w:val="center"/>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4.2.2积、商、幂的对数</w:t>
            </w:r>
          </w:p>
          <w:p w14:paraId="4EFBCF6D">
            <w:pPr>
              <w:jc w:val="center"/>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4.2.3换底公式</w:t>
            </w:r>
          </w:p>
        </w:tc>
        <w:tc>
          <w:tcPr>
            <w:tcW w:w="3661" w:type="dxa"/>
            <w:vAlign w:val="center"/>
          </w:tcPr>
          <w:p w14:paraId="7D009779">
            <w:pPr>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积、商、幂的对数的运算法则及换底公式及其应用</w:t>
            </w:r>
          </w:p>
        </w:tc>
        <w:tc>
          <w:tcPr>
            <w:tcW w:w="498" w:type="dxa"/>
            <w:vAlign w:val="center"/>
          </w:tcPr>
          <w:p w14:paraId="05D7C5E9">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50D42B0A">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c>
          <w:tcPr>
            <w:tcW w:w="1738" w:type="dxa"/>
            <w:shd w:val="clear" w:color="auto" w:fill="auto"/>
            <w:vAlign w:val="center"/>
          </w:tcPr>
          <w:p w14:paraId="7683F360">
            <w:pPr>
              <w:spacing w:line="40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30</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5</w:t>
            </w:r>
          </w:p>
        </w:tc>
        <w:tc>
          <w:tcPr>
            <w:tcW w:w="3542" w:type="dxa"/>
            <w:shd w:val="clear" w:color="auto" w:fill="auto"/>
            <w:vAlign w:val="center"/>
          </w:tcPr>
          <w:p w14:paraId="370BC47C">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sz w:val="28"/>
                <w:szCs w:val="28"/>
                <w:lang w:val="en-US" w:eastAsia="zh-CN"/>
              </w:rPr>
              <w:t>4.2.4对数函数</w:t>
            </w:r>
          </w:p>
        </w:tc>
        <w:tc>
          <w:tcPr>
            <w:tcW w:w="3661" w:type="dxa"/>
            <w:vAlign w:val="center"/>
          </w:tcPr>
          <w:p w14:paraId="4676D876">
            <w:pPr>
              <w:spacing w:line="400" w:lineRule="exact"/>
              <w:jc w:val="left"/>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指数对数的互化、对数函数的定义、图像、单调性、定义域、值域</w:t>
            </w:r>
          </w:p>
        </w:tc>
        <w:tc>
          <w:tcPr>
            <w:tcW w:w="498" w:type="dxa"/>
            <w:vAlign w:val="center"/>
          </w:tcPr>
          <w:p w14:paraId="585B0FEA">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0B8D36A6">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1738" w:type="dxa"/>
            <w:shd w:val="clear" w:color="auto" w:fill="auto"/>
            <w:vAlign w:val="center"/>
          </w:tcPr>
          <w:p w14:paraId="4376274A">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12</w:t>
            </w:r>
          </w:p>
        </w:tc>
        <w:tc>
          <w:tcPr>
            <w:tcW w:w="3542" w:type="dxa"/>
            <w:shd w:val="clear" w:color="auto" w:fill="auto"/>
            <w:vAlign w:val="center"/>
          </w:tcPr>
          <w:p w14:paraId="26CE2970">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4.3指数函数与对数函数的应用</w:t>
            </w:r>
          </w:p>
        </w:tc>
        <w:tc>
          <w:tcPr>
            <w:tcW w:w="3661" w:type="dxa"/>
            <w:vAlign w:val="center"/>
          </w:tcPr>
          <w:p w14:paraId="4E186236">
            <w:pPr>
              <w:spacing w:line="400" w:lineRule="exact"/>
              <w:jc w:val="left"/>
              <w:rPr>
                <w:rFonts w:hint="eastAsia" w:asciiTheme="minorEastAsia" w:hAnsiTheme="minorEastAsia" w:eastAsiaTheme="minorEastAsia" w:cstheme="minorEastAsia"/>
                <w:sz w:val="28"/>
                <w:szCs w:val="28"/>
              </w:rPr>
            </w:pPr>
            <w:r>
              <w:rPr>
                <w:rFonts w:hint="eastAsia" w:asciiTheme="minorEastAsia" w:hAnsiTheme="minorEastAsia" w:cstheme="minorEastAsia"/>
                <w:kern w:val="2"/>
                <w:sz w:val="28"/>
                <w:szCs w:val="28"/>
                <w:vertAlign w:val="baseline"/>
                <w:lang w:val="en-US" w:eastAsia="zh-CN" w:bidi="ar-SA"/>
              </w:rPr>
              <w:t>指数函数与对数函数的应用</w:t>
            </w:r>
          </w:p>
        </w:tc>
        <w:tc>
          <w:tcPr>
            <w:tcW w:w="498" w:type="dxa"/>
            <w:vAlign w:val="center"/>
          </w:tcPr>
          <w:p w14:paraId="187C981F">
            <w:pPr>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1376147A">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p>
        </w:tc>
        <w:tc>
          <w:tcPr>
            <w:tcW w:w="1738" w:type="dxa"/>
            <w:shd w:val="clear" w:color="auto" w:fill="auto"/>
            <w:vAlign w:val="center"/>
          </w:tcPr>
          <w:p w14:paraId="33FC554D">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4.19</w:t>
            </w:r>
          </w:p>
        </w:tc>
        <w:tc>
          <w:tcPr>
            <w:tcW w:w="3542" w:type="dxa"/>
            <w:shd w:val="clear" w:color="auto" w:fill="auto"/>
            <w:vAlign w:val="center"/>
          </w:tcPr>
          <w:p w14:paraId="726141A9">
            <w:pPr>
              <w:jc w:val="center"/>
              <w:rPr>
                <w:rFonts w:hint="eastAsia"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5.1角的概念的推广</w:t>
            </w:r>
          </w:p>
          <w:p w14:paraId="40BB2CFA">
            <w:pPr>
              <w:jc w:val="center"/>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5.1.2弧度制</w:t>
            </w:r>
          </w:p>
        </w:tc>
        <w:tc>
          <w:tcPr>
            <w:tcW w:w="3661" w:type="dxa"/>
            <w:vAlign w:val="center"/>
          </w:tcPr>
          <w:p w14:paraId="1AC76445">
            <w:pPr>
              <w:spacing w:line="400" w:lineRule="exact"/>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集合运算的交集、并集和补集</w:t>
            </w:r>
          </w:p>
        </w:tc>
        <w:tc>
          <w:tcPr>
            <w:tcW w:w="498" w:type="dxa"/>
            <w:vAlign w:val="center"/>
          </w:tcPr>
          <w:p w14:paraId="43A3C4C7">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4DF9B9A4">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p>
        </w:tc>
        <w:tc>
          <w:tcPr>
            <w:tcW w:w="1738" w:type="dxa"/>
            <w:shd w:val="clear" w:color="auto" w:fill="auto"/>
            <w:vAlign w:val="center"/>
          </w:tcPr>
          <w:p w14:paraId="00539CCD">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20</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26</w:t>
            </w:r>
          </w:p>
        </w:tc>
        <w:tc>
          <w:tcPr>
            <w:tcW w:w="3542" w:type="dxa"/>
            <w:shd w:val="clear" w:color="auto" w:fill="auto"/>
            <w:vAlign w:val="center"/>
          </w:tcPr>
          <w:p w14:paraId="3DE8288C">
            <w:pPr>
              <w:jc w:val="center"/>
              <w:rPr>
                <w:rFonts w:hint="default" w:asciiTheme="minorEastAsia" w:hAnsiTheme="minorEastAsia" w:eastAsia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5.2.1任意角三角函数的定义</w:t>
            </w:r>
          </w:p>
        </w:tc>
        <w:tc>
          <w:tcPr>
            <w:tcW w:w="3661" w:type="dxa"/>
            <w:vAlign w:val="center"/>
          </w:tcPr>
          <w:p w14:paraId="4C9C0C16">
            <w:pPr>
              <w:spacing w:line="400" w:lineRule="exact"/>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kern w:val="2"/>
                <w:sz w:val="28"/>
                <w:szCs w:val="28"/>
                <w:vertAlign w:val="baseline"/>
                <w:lang w:val="en-US" w:eastAsia="zh-CN" w:bidi="ar-SA"/>
              </w:rPr>
              <w:t>任意角三角函数的定义，正弦、余弦与正切在各象限的符号，单位圆与三角函数线</w:t>
            </w:r>
          </w:p>
        </w:tc>
        <w:tc>
          <w:tcPr>
            <w:tcW w:w="498" w:type="dxa"/>
            <w:vAlign w:val="center"/>
          </w:tcPr>
          <w:p w14:paraId="19888EDF">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1E5B1780">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p>
        </w:tc>
        <w:tc>
          <w:tcPr>
            <w:tcW w:w="1738" w:type="dxa"/>
            <w:shd w:val="clear" w:color="auto" w:fill="auto"/>
            <w:vAlign w:val="center"/>
          </w:tcPr>
          <w:p w14:paraId="27A1545B">
            <w:pPr>
              <w:spacing w:line="40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3</w:t>
            </w:r>
          </w:p>
        </w:tc>
        <w:tc>
          <w:tcPr>
            <w:tcW w:w="3542" w:type="dxa"/>
            <w:shd w:val="clear" w:color="auto" w:fill="auto"/>
            <w:vAlign w:val="center"/>
          </w:tcPr>
          <w:p w14:paraId="732DEC24">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期中考试</w:t>
            </w:r>
          </w:p>
        </w:tc>
        <w:tc>
          <w:tcPr>
            <w:tcW w:w="3661" w:type="dxa"/>
            <w:vAlign w:val="center"/>
          </w:tcPr>
          <w:p w14:paraId="43C90D0D">
            <w:pPr>
              <w:spacing w:line="400" w:lineRule="exact"/>
              <w:jc w:val="left"/>
              <w:rPr>
                <w:rFonts w:hint="default" w:asciiTheme="minorEastAsia" w:hAnsiTheme="minorEastAsia" w:eastAsiaTheme="minorEastAsia" w:cstheme="minorEastAsia"/>
                <w:sz w:val="28"/>
                <w:szCs w:val="28"/>
                <w:lang w:val="en-US" w:eastAsia="zh-CN"/>
              </w:rPr>
            </w:pPr>
          </w:p>
        </w:tc>
        <w:tc>
          <w:tcPr>
            <w:tcW w:w="498" w:type="dxa"/>
            <w:vAlign w:val="center"/>
          </w:tcPr>
          <w:p w14:paraId="13067BD3">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09E86D5E">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p>
        </w:tc>
        <w:tc>
          <w:tcPr>
            <w:tcW w:w="1738" w:type="dxa"/>
            <w:shd w:val="clear" w:color="auto" w:fill="auto"/>
            <w:vAlign w:val="center"/>
          </w:tcPr>
          <w:p w14:paraId="34B875A8">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10</w:t>
            </w:r>
          </w:p>
        </w:tc>
        <w:tc>
          <w:tcPr>
            <w:tcW w:w="3542" w:type="dxa"/>
            <w:shd w:val="clear" w:color="auto" w:fill="auto"/>
            <w:vAlign w:val="center"/>
          </w:tcPr>
          <w:p w14:paraId="238684F3">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5.2.2同角三角函数的基本关系式</w:t>
            </w:r>
          </w:p>
        </w:tc>
        <w:tc>
          <w:tcPr>
            <w:tcW w:w="3661" w:type="dxa"/>
            <w:vAlign w:val="center"/>
          </w:tcPr>
          <w:p w14:paraId="7AA72CB9">
            <w:pPr>
              <w:spacing w:line="400" w:lineRule="exact"/>
              <w:jc w:val="left"/>
              <w:rPr>
                <w:rFonts w:hint="eastAsia" w:asciiTheme="minorEastAsia" w:hAnsiTheme="minorEastAsia" w:eastAsiaTheme="minorEastAsia" w:cstheme="minorEastAsia"/>
                <w:sz w:val="28"/>
                <w:szCs w:val="28"/>
              </w:rPr>
            </w:pPr>
            <w:r>
              <w:rPr>
                <w:rFonts w:hint="eastAsia" w:asciiTheme="minorEastAsia" w:hAnsiTheme="minorEastAsia" w:cstheme="minorEastAsia"/>
                <w:kern w:val="2"/>
                <w:sz w:val="28"/>
                <w:szCs w:val="28"/>
                <w:vertAlign w:val="baseline"/>
                <w:lang w:val="en-US" w:eastAsia="zh-CN" w:bidi="ar-SA"/>
              </w:rPr>
              <w:t>同角三角函数的基本关系式平方关系和商的关系</w:t>
            </w:r>
          </w:p>
        </w:tc>
        <w:tc>
          <w:tcPr>
            <w:tcW w:w="498" w:type="dxa"/>
            <w:vAlign w:val="center"/>
          </w:tcPr>
          <w:p w14:paraId="7A6BBC39">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1463B13D">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p>
        </w:tc>
        <w:tc>
          <w:tcPr>
            <w:tcW w:w="1738" w:type="dxa"/>
            <w:shd w:val="clear" w:color="auto" w:fill="auto"/>
            <w:vAlign w:val="center"/>
          </w:tcPr>
          <w:p w14:paraId="4F933D10">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11</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17</w:t>
            </w:r>
          </w:p>
        </w:tc>
        <w:tc>
          <w:tcPr>
            <w:tcW w:w="3542" w:type="dxa"/>
            <w:shd w:val="clear" w:color="auto" w:fill="auto"/>
            <w:vAlign w:val="center"/>
          </w:tcPr>
          <w:p w14:paraId="5E9A68BA">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5.2.3诱导公式</w:t>
            </w:r>
          </w:p>
        </w:tc>
        <w:tc>
          <w:tcPr>
            <w:tcW w:w="3661" w:type="dxa"/>
            <w:vAlign w:val="center"/>
          </w:tcPr>
          <w:p w14:paraId="64B08035">
            <w:pPr>
              <w:spacing w:line="400" w:lineRule="exact"/>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四组诱导公式及其应用</w:t>
            </w:r>
          </w:p>
        </w:tc>
        <w:tc>
          <w:tcPr>
            <w:tcW w:w="498" w:type="dxa"/>
            <w:vAlign w:val="center"/>
          </w:tcPr>
          <w:p w14:paraId="62336CE2">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0DE3D760">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w:t>
            </w:r>
          </w:p>
        </w:tc>
        <w:tc>
          <w:tcPr>
            <w:tcW w:w="1738" w:type="dxa"/>
            <w:shd w:val="clear" w:color="auto" w:fill="auto"/>
            <w:vAlign w:val="center"/>
          </w:tcPr>
          <w:p w14:paraId="78CA2DE7">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24</w:t>
            </w:r>
          </w:p>
        </w:tc>
        <w:tc>
          <w:tcPr>
            <w:tcW w:w="3542" w:type="dxa"/>
            <w:shd w:val="clear" w:color="auto" w:fill="auto"/>
            <w:vAlign w:val="center"/>
          </w:tcPr>
          <w:p w14:paraId="3AADE87C">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5.3.1正弦函数的图像与性质</w:t>
            </w:r>
          </w:p>
        </w:tc>
        <w:tc>
          <w:tcPr>
            <w:tcW w:w="3661" w:type="dxa"/>
            <w:vAlign w:val="center"/>
          </w:tcPr>
          <w:p w14:paraId="3683B791">
            <w:pPr>
              <w:spacing w:line="400" w:lineRule="exact"/>
              <w:jc w:val="left"/>
              <w:rPr>
                <w:rFonts w:hint="default" w:asciiTheme="minorEastAsia" w:hAnsiTheme="minorEastAsia" w:eastAsiaTheme="minorEastAsia" w:cstheme="minorEastAsia"/>
                <w:sz w:val="28"/>
                <w:szCs w:val="28"/>
                <w:lang w:val="en-US"/>
              </w:rPr>
            </w:pPr>
            <w:r>
              <w:rPr>
                <w:rFonts w:hint="eastAsia" w:asciiTheme="minorEastAsia" w:hAnsiTheme="minorEastAsia" w:cstheme="minorEastAsia"/>
                <w:sz w:val="28"/>
                <w:szCs w:val="28"/>
                <w:lang w:val="en-US" w:eastAsia="zh-CN"/>
              </w:rPr>
              <w:t>正弦函数的图像、单调性、定义域、值域、周期、奇偶性、对称中心</w:t>
            </w:r>
          </w:p>
        </w:tc>
        <w:tc>
          <w:tcPr>
            <w:tcW w:w="498" w:type="dxa"/>
            <w:vAlign w:val="center"/>
          </w:tcPr>
          <w:p w14:paraId="7626191A">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50CE07DF">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w:t>
            </w:r>
          </w:p>
        </w:tc>
        <w:tc>
          <w:tcPr>
            <w:tcW w:w="1738" w:type="dxa"/>
            <w:shd w:val="clear" w:color="auto" w:fill="auto"/>
            <w:vAlign w:val="center"/>
          </w:tcPr>
          <w:p w14:paraId="0B10C9A3">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5.25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31</w:t>
            </w:r>
          </w:p>
        </w:tc>
        <w:tc>
          <w:tcPr>
            <w:tcW w:w="3542" w:type="dxa"/>
            <w:shd w:val="clear" w:color="auto" w:fill="auto"/>
            <w:vAlign w:val="center"/>
          </w:tcPr>
          <w:p w14:paraId="2D5F4A9D">
            <w:pPr>
              <w:jc w:val="center"/>
              <w:rPr>
                <w:rFonts w:hint="eastAsia"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5.3.2余弦函数的图像与性质</w:t>
            </w:r>
          </w:p>
        </w:tc>
        <w:tc>
          <w:tcPr>
            <w:tcW w:w="3661" w:type="dxa"/>
            <w:vAlign w:val="center"/>
          </w:tcPr>
          <w:p w14:paraId="044D5C1E">
            <w:pPr>
              <w:spacing w:line="400" w:lineRule="exact"/>
              <w:jc w:val="left"/>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余弦函数的图像、单调性、定义域、值域、周期、奇偶性、对称中心</w:t>
            </w:r>
          </w:p>
        </w:tc>
        <w:tc>
          <w:tcPr>
            <w:tcW w:w="498" w:type="dxa"/>
            <w:vAlign w:val="center"/>
          </w:tcPr>
          <w:p w14:paraId="26D39A08">
            <w:pPr>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659E9DBD">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w:t>
            </w:r>
          </w:p>
        </w:tc>
        <w:tc>
          <w:tcPr>
            <w:tcW w:w="1738" w:type="dxa"/>
            <w:shd w:val="clear" w:color="auto" w:fill="auto"/>
            <w:vAlign w:val="center"/>
          </w:tcPr>
          <w:p w14:paraId="11164E87">
            <w:pPr>
              <w:spacing w:line="40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7</w:t>
            </w:r>
          </w:p>
        </w:tc>
        <w:tc>
          <w:tcPr>
            <w:tcW w:w="3542" w:type="dxa"/>
            <w:shd w:val="clear" w:color="auto" w:fill="auto"/>
            <w:vAlign w:val="center"/>
          </w:tcPr>
          <w:p w14:paraId="16CD52D2">
            <w:pPr>
              <w:jc w:val="center"/>
              <w:rPr>
                <w:rFonts w:hint="default"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5.3.3已知三角函数值求角</w:t>
            </w:r>
          </w:p>
        </w:tc>
        <w:tc>
          <w:tcPr>
            <w:tcW w:w="3661" w:type="dxa"/>
            <w:vAlign w:val="center"/>
          </w:tcPr>
          <w:p w14:paraId="702235DA">
            <w:pPr>
              <w:spacing w:line="400" w:lineRule="exact"/>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kern w:val="2"/>
                <w:sz w:val="28"/>
                <w:szCs w:val="28"/>
                <w:vertAlign w:val="baseline"/>
                <w:lang w:val="en-US" w:eastAsia="zh-CN" w:bidi="ar-SA"/>
              </w:rPr>
              <w:t>已知三角函数值求角</w:t>
            </w:r>
          </w:p>
        </w:tc>
        <w:tc>
          <w:tcPr>
            <w:tcW w:w="498" w:type="dxa"/>
            <w:vAlign w:val="center"/>
          </w:tcPr>
          <w:p w14:paraId="6B78EAD2">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1B159F9B">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w:t>
            </w:r>
          </w:p>
        </w:tc>
        <w:tc>
          <w:tcPr>
            <w:tcW w:w="1738" w:type="dxa"/>
            <w:shd w:val="clear" w:color="auto" w:fill="auto"/>
            <w:vAlign w:val="center"/>
          </w:tcPr>
          <w:p w14:paraId="2798C0D3">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14</w:t>
            </w:r>
          </w:p>
        </w:tc>
        <w:tc>
          <w:tcPr>
            <w:tcW w:w="3542" w:type="dxa"/>
            <w:shd w:val="clear" w:color="auto" w:fill="auto"/>
            <w:vAlign w:val="center"/>
          </w:tcPr>
          <w:p w14:paraId="6C3073C0">
            <w:pPr>
              <w:jc w:val="center"/>
              <w:rPr>
                <w:rFonts w:hint="eastAsia"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6.1两点间距离公式和线段的中点坐标公式</w:t>
            </w:r>
          </w:p>
        </w:tc>
        <w:tc>
          <w:tcPr>
            <w:tcW w:w="3661" w:type="dxa"/>
            <w:vAlign w:val="center"/>
          </w:tcPr>
          <w:p w14:paraId="6A767258">
            <w:pPr>
              <w:jc w:val="left"/>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数轴上的和平面直角坐标系中的两点间距离公式和线段的中点坐标公式</w:t>
            </w:r>
          </w:p>
        </w:tc>
        <w:tc>
          <w:tcPr>
            <w:tcW w:w="498" w:type="dxa"/>
            <w:vAlign w:val="center"/>
          </w:tcPr>
          <w:p w14:paraId="082CBF5B">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75ED358A">
            <w:pPr>
              <w:jc w:val="center"/>
              <w:rPr>
                <w:rFonts w:hint="eastAsia" w:asciiTheme="minorEastAsia" w:hAnsiTheme="minorEastAsia" w:eastAsiaTheme="minorEastAsia" w:cstheme="minorEastAsia"/>
                <w:sz w:val="28"/>
                <w:szCs w:val="28"/>
              </w:rPr>
            </w:pPr>
            <w:bookmarkStart w:id="0" w:name="_GoBack" w:colFirst="3" w:colLast="3"/>
            <w:r>
              <w:rPr>
                <w:rFonts w:hint="eastAsia" w:asciiTheme="minorEastAsia" w:hAnsiTheme="minorEastAsia" w:eastAsiaTheme="minorEastAsia" w:cstheme="minorEastAsia"/>
                <w:sz w:val="28"/>
                <w:szCs w:val="28"/>
              </w:rPr>
              <w:t>15</w:t>
            </w:r>
          </w:p>
        </w:tc>
        <w:tc>
          <w:tcPr>
            <w:tcW w:w="1738" w:type="dxa"/>
            <w:shd w:val="clear" w:color="auto" w:fill="auto"/>
            <w:vAlign w:val="center"/>
          </w:tcPr>
          <w:p w14:paraId="282BF22F">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21</w:t>
            </w:r>
          </w:p>
        </w:tc>
        <w:tc>
          <w:tcPr>
            <w:tcW w:w="3542" w:type="dxa"/>
            <w:shd w:val="clear" w:color="auto" w:fill="auto"/>
            <w:vAlign w:val="center"/>
          </w:tcPr>
          <w:p w14:paraId="612543ED">
            <w:pPr>
              <w:jc w:val="center"/>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6.2.1直线与方程</w:t>
            </w:r>
          </w:p>
          <w:p w14:paraId="5A30430F">
            <w:pPr>
              <w:jc w:val="center"/>
              <w:rPr>
                <w:rFonts w:hint="eastAsia"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6.2.2直线的倾斜角与斜率</w:t>
            </w:r>
          </w:p>
          <w:p w14:paraId="4E1902A3">
            <w:pPr>
              <w:jc w:val="center"/>
              <w:rPr>
                <w:rFonts w:hint="eastAsia" w:asciiTheme="minorEastAsia" w:hAnsiTheme="minorEastAsia" w:cstheme="minorEastAsia"/>
                <w:kern w:val="2"/>
                <w:sz w:val="28"/>
                <w:szCs w:val="28"/>
                <w:vertAlign w:val="baseline"/>
                <w:lang w:val="en-US" w:eastAsia="zh-CN" w:bidi="ar-SA"/>
              </w:rPr>
            </w:pPr>
          </w:p>
        </w:tc>
        <w:tc>
          <w:tcPr>
            <w:tcW w:w="3661" w:type="dxa"/>
            <w:vAlign w:val="center"/>
          </w:tcPr>
          <w:p w14:paraId="6DA68D1C">
            <w:pPr>
              <w:jc w:val="left"/>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函数表示的三种方法、分段函数的概念</w:t>
            </w:r>
          </w:p>
        </w:tc>
        <w:tc>
          <w:tcPr>
            <w:tcW w:w="498" w:type="dxa"/>
            <w:vAlign w:val="center"/>
          </w:tcPr>
          <w:p w14:paraId="298069E1">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1076D9FA">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w:t>
            </w:r>
          </w:p>
        </w:tc>
        <w:tc>
          <w:tcPr>
            <w:tcW w:w="1738" w:type="dxa"/>
            <w:shd w:val="clear" w:color="auto" w:fill="auto"/>
            <w:vAlign w:val="center"/>
          </w:tcPr>
          <w:p w14:paraId="3A9504C4">
            <w:pPr>
              <w:spacing w:line="40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22</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cstheme="minorEastAsia"/>
                <w:sz w:val="28"/>
                <w:szCs w:val="28"/>
                <w:lang w:val="en-US" w:eastAsia="zh-CN"/>
              </w:rPr>
              <w:t>8</w:t>
            </w:r>
          </w:p>
        </w:tc>
        <w:tc>
          <w:tcPr>
            <w:tcW w:w="3542" w:type="dxa"/>
            <w:shd w:val="clear" w:color="auto" w:fill="auto"/>
            <w:vAlign w:val="center"/>
          </w:tcPr>
          <w:p w14:paraId="3EA7C733">
            <w:pPr>
              <w:jc w:val="both"/>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6.2.3直线方程的几种形式</w:t>
            </w:r>
          </w:p>
        </w:tc>
        <w:tc>
          <w:tcPr>
            <w:tcW w:w="3661" w:type="dxa"/>
            <w:vAlign w:val="center"/>
          </w:tcPr>
          <w:p w14:paraId="3D144D91">
            <w:pPr>
              <w:jc w:val="left"/>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直线的点斜式方程与斜截式方程、一般式方程</w:t>
            </w:r>
          </w:p>
        </w:tc>
        <w:tc>
          <w:tcPr>
            <w:tcW w:w="498" w:type="dxa"/>
            <w:vAlign w:val="center"/>
          </w:tcPr>
          <w:p w14:paraId="4EF076E3">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01905EB6">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w:t>
            </w:r>
          </w:p>
        </w:tc>
        <w:tc>
          <w:tcPr>
            <w:tcW w:w="1738" w:type="dxa"/>
            <w:shd w:val="clear" w:color="auto" w:fill="auto"/>
            <w:vAlign w:val="center"/>
          </w:tcPr>
          <w:p w14:paraId="1A8E1A47">
            <w:pPr>
              <w:spacing w:line="40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5</w:t>
            </w:r>
          </w:p>
        </w:tc>
        <w:tc>
          <w:tcPr>
            <w:tcW w:w="3542" w:type="dxa"/>
            <w:shd w:val="clear" w:color="auto" w:fill="auto"/>
            <w:vAlign w:val="center"/>
          </w:tcPr>
          <w:p w14:paraId="598BF42A">
            <w:pPr>
              <w:jc w:val="center"/>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6.2.4直线与直线的位置关系</w:t>
            </w:r>
          </w:p>
        </w:tc>
        <w:tc>
          <w:tcPr>
            <w:tcW w:w="3661" w:type="dxa"/>
            <w:vAlign w:val="center"/>
          </w:tcPr>
          <w:p w14:paraId="26A2999A">
            <w:pPr>
              <w:jc w:val="left"/>
              <w:rPr>
                <w:rFonts w:hint="default" w:asciiTheme="minorEastAsia" w:hAnsiTheme="minorEastAsia" w:cstheme="minorEastAsia"/>
                <w:kern w:val="2"/>
                <w:sz w:val="28"/>
                <w:szCs w:val="28"/>
                <w:vertAlign w:val="baseline"/>
                <w:lang w:val="en-US" w:eastAsia="zh-CN" w:bidi="ar-SA"/>
              </w:rPr>
            </w:pPr>
            <w:r>
              <w:rPr>
                <w:rFonts w:hint="eastAsia" w:asciiTheme="minorEastAsia" w:hAnsiTheme="minorEastAsia" w:cstheme="minorEastAsia"/>
                <w:kern w:val="2"/>
                <w:sz w:val="28"/>
                <w:szCs w:val="28"/>
                <w:vertAlign w:val="baseline"/>
                <w:lang w:val="en-US" w:eastAsia="zh-CN" w:bidi="ar-SA"/>
              </w:rPr>
              <w:t>直线与直线平行或相交、垂直</w:t>
            </w:r>
          </w:p>
        </w:tc>
        <w:tc>
          <w:tcPr>
            <w:tcW w:w="498" w:type="dxa"/>
            <w:vAlign w:val="center"/>
          </w:tcPr>
          <w:p w14:paraId="25799749">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bookmarkEnd w:id="0"/>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3" w:type="dxa"/>
            <w:vAlign w:val="center"/>
          </w:tcPr>
          <w:p w14:paraId="6A19CC3F">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w:t>
            </w:r>
          </w:p>
        </w:tc>
        <w:tc>
          <w:tcPr>
            <w:tcW w:w="1738" w:type="dxa"/>
            <w:shd w:val="clear" w:color="auto" w:fill="auto"/>
            <w:vAlign w:val="center"/>
          </w:tcPr>
          <w:p w14:paraId="7ABD86DE">
            <w:pPr>
              <w:spacing w:line="400" w:lineRule="exact"/>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7.6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cstheme="minorEastAsia"/>
                <w:sz w:val="28"/>
                <w:szCs w:val="28"/>
                <w:lang w:val="en-US" w:eastAsia="zh-CN"/>
              </w:rPr>
              <w:t>7.12</w:t>
            </w:r>
          </w:p>
        </w:tc>
        <w:tc>
          <w:tcPr>
            <w:tcW w:w="3542" w:type="dxa"/>
            <w:shd w:val="clear" w:color="auto" w:fill="auto"/>
            <w:vAlign w:val="center"/>
          </w:tcPr>
          <w:p w14:paraId="556CDA90">
            <w:pPr>
              <w:jc w:val="center"/>
              <w:rPr>
                <w:rFonts w:hint="eastAsia" w:asciiTheme="minorEastAsia" w:hAnsiTheme="minorEastAsia" w:eastAsiaTheme="minorEastAsia" w:cstheme="minorEastAsia"/>
                <w:b/>
                <w:kern w:val="2"/>
                <w:sz w:val="28"/>
                <w:szCs w:val="28"/>
                <w:lang w:val="en-US" w:eastAsia="zh-CN" w:bidi="ar-SA"/>
              </w:rPr>
            </w:pPr>
            <w:r>
              <w:rPr>
                <w:rFonts w:hint="eastAsia" w:asciiTheme="minorEastAsia" w:hAnsiTheme="minorEastAsia" w:cstheme="minorEastAsia"/>
                <w:kern w:val="2"/>
                <w:sz w:val="28"/>
                <w:szCs w:val="28"/>
                <w:vertAlign w:val="baseline"/>
                <w:lang w:val="en-US" w:eastAsia="zh-CN" w:bidi="ar-SA"/>
              </w:rPr>
              <w:t>期末考试</w:t>
            </w:r>
          </w:p>
        </w:tc>
        <w:tc>
          <w:tcPr>
            <w:tcW w:w="3661" w:type="dxa"/>
            <w:vAlign w:val="center"/>
          </w:tcPr>
          <w:p w14:paraId="1E4EE141">
            <w:pPr>
              <w:spacing w:line="400" w:lineRule="exact"/>
              <w:jc w:val="left"/>
              <w:rPr>
                <w:rFonts w:hint="eastAsia" w:asciiTheme="minorEastAsia" w:hAnsiTheme="minorEastAsia" w:eastAsiaTheme="minorEastAsia" w:cstheme="minorEastAsia"/>
                <w:sz w:val="28"/>
                <w:szCs w:val="28"/>
              </w:rPr>
            </w:pPr>
          </w:p>
        </w:tc>
        <w:tc>
          <w:tcPr>
            <w:tcW w:w="498" w:type="dxa"/>
            <w:vAlign w:val="center"/>
          </w:tcPr>
          <w:p w14:paraId="53243F19">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p>
        </w:tc>
      </w:tr>
    </w:tbl>
    <w:p w14:paraId="740B8B07">
      <w:pPr>
        <w:rPr>
          <w:rFonts w:hint="eastAsia" w:asciiTheme="minorEastAsia" w:hAnsiTheme="minorEastAsia" w:eastAsiaTheme="minorEastAsia" w:cstheme="minorEastAsia"/>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84CF40"/>
    <w:multiLevelType w:val="singleLevel"/>
    <w:tmpl w:val="1784CF40"/>
    <w:lvl w:ilvl="0" w:tentative="0">
      <w:start w:val="1"/>
      <w:numFmt w:val="decimal"/>
      <w:lvlText w:val="%1."/>
      <w:lvlJc w:val="left"/>
      <w:pPr>
        <w:tabs>
          <w:tab w:val="left" w:pos="312"/>
        </w:tabs>
      </w:pPr>
    </w:lvl>
  </w:abstractNum>
  <w:abstractNum w:abstractNumId="1">
    <w:nsid w:val="1FDA6586"/>
    <w:multiLevelType w:val="singleLevel"/>
    <w:tmpl w:val="1FDA658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3E"/>
    <w:rsid w:val="0010401F"/>
    <w:rsid w:val="004F713E"/>
    <w:rsid w:val="005B1E69"/>
    <w:rsid w:val="006D40A1"/>
    <w:rsid w:val="00705E0A"/>
    <w:rsid w:val="009152AC"/>
    <w:rsid w:val="00B02BB7"/>
    <w:rsid w:val="00F5669D"/>
    <w:rsid w:val="01FF0067"/>
    <w:rsid w:val="03802B70"/>
    <w:rsid w:val="03F34E05"/>
    <w:rsid w:val="04A44EF6"/>
    <w:rsid w:val="07A174CB"/>
    <w:rsid w:val="082C4FE6"/>
    <w:rsid w:val="092D370C"/>
    <w:rsid w:val="0A9123E5"/>
    <w:rsid w:val="0DF742E8"/>
    <w:rsid w:val="10350DB4"/>
    <w:rsid w:val="12380A2C"/>
    <w:rsid w:val="12900868"/>
    <w:rsid w:val="17C56451"/>
    <w:rsid w:val="181F0517"/>
    <w:rsid w:val="1A7C004F"/>
    <w:rsid w:val="1A98650B"/>
    <w:rsid w:val="1B0166E9"/>
    <w:rsid w:val="1E911BEF"/>
    <w:rsid w:val="20FA7F20"/>
    <w:rsid w:val="227178EB"/>
    <w:rsid w:val="239D2DE4"/>
    <w:rsid w:val="242157C3"/>
    <w:rsid w:val="25070E5D"/>
    <w:rsid w:val="27716A62"/>
    <w:rsid w:val="288602EB"/>
    <w:rsid w:val="292F071F"/>
    <w:rsid w:val="2E3737E1"/>
    <w:rsid w:val="2EFE6E2D"/>
    <w:rsid w:val="2F81180C"/>
    <w:rsid w:val="30BA3228"/>
    <w:rsid w:val="30BF25EC"/>
    <w:rsid w:val="31E247E4"/>
    <w:rsid w:val="39995AAB"/>
    <w:rsid w:val="39CE1E44"/>
    <w:rsid w:val="3A1A6AE5"/>
    <w:rsid w:val="3AD9074E"/>
    <w:rsid w:val="3C834E15"/>
    <w:rsid w:val="3F6727CC"/>
    <w:rsid w:val="409749EB"/>
    <w:rsid w:val="40982BEB"/>
    <w:rsid w:val="417B26E3"/>
    <w:rsid w:val="42697855"/>
    <w:rsid w:val="42DE4B54"/>
    <w:rsid w:val="43FA2377"/>
    <w:rsid w:val="449325D5"/>
    <w:rsid w:val="452A1CB6"/>
    <w:rsid w:val="49A10689"/>
    <w:rsid w:val="4B552AA6"/>
    <w:rsid w:val="4DFA0CB0"/>
    <w:rsid w:val="539C1C4E"/>
    <w:rsid w:val="551E5284"/>
    <w:rsid w:val="55867C86"/>
    <w:rsid w:val="56093179"/>
    <w:rsid w:val="56BD287A"/>
    <w:rsid w:val="571526B6"/>
    <w:rsid w:val="57723665"/>
    <w:rsid w:val="57CF2865"/>
    <w:rsid w:val="5973765A"/>
    <w:rsid w:val="5A0C7DA1"/>
    <w:rsid w:val="5B800A46"/>
    <w:rsid w:val="5B9718EC"/>
    <w:rsid w:val="5BCA1CC1"/>
    <w:rsid w:val="5DC80482"/>
    <w:rsid w:val="6017124D"/>
    <w:rsid w:val="612956DC"/>
    <w:rsid w:val="6218706E"/>
    <w:rsid w:val="627604AD"/>
    <w:rsid w:val="633914DA"/>
    <w:rsid w:val="67A41618"/>
    <w:rsid w:val="6EBD7C19"/>
    <w:rsid w:val="6FA51132"/>
    <w:rsid w:val="712B6906"/>
    <w:rsid w:val="71671D9D"/>
    <w:rsid w:val="717534E7"/>
    <w:rsid w:val="734B14E2"/>
    <w:rsid w:val="778356EE"/>
    <w:rsid w:val="7BA21EBB"/>
    <w:rsid w:val="7BAB5214"/>
    <w:rsid w:val="7E046E5D"/>
    <w:rsid w:val="7E751B09"/>
    <w:rsid w:val="7F743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2268</Words>
  <Characters>2519</Characters>
  <Lines>2</Lines>
  <Paragraphs>1</Paragraphs>
  <TotalTime>1</TotalTime>
  <ScaleCrop>false</ScaleCrop>
  <LinksUpToDate>false</LinksUpToDate>
  <CharactersWithSpaces>2519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孙晓峰</cp:lastModifiedBy>
  <dcterms:modified xsi:type="dcterms:W3CDTF">2026-03-10T11:10:33Z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eyJoZGlkIjoiZjQwNWE4OTE4YzhkOGIxZjQ4MDMyMDUyNDkyZjQ5MjUiLCJ1c2VySWQiOiIzOTY4OTU0OTEifQ==</vt:lpwstr>
  </property>
  <property fmtid="{D5CDD505-2E9C-101B-9397-08002B2CF9AE}" pid="4" name="ICV">
    <vt:lpwstr>E1ACC669FE0F4399B73BB5BCEC04064D_13</vt:lpwstr>
  </property>
</Properties>
</file>